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>
      <w:pPr>
        <w:pStyle w:val="Title"/>
      </w:pPr>
      <w:r>
        <w:t xml:space="preserve">Sample off Tark report, what it generates</w:t>
      </w:r>
    </w:p>
    <w:p>
      <w:r>
        <w:t xml:space="preserve"/>
      </w:r>
    </w:p>
    <w:p>
      <w:pPr>
        <w:pStyle w:val="Heading1"/>
      </w:pPr>
      <w:r>
        <w:t xml:space="preserve">Model path diagram</w:t>
      </w:r>
    </w:p>
    <w:p>
      <w:pPr>
        <w:jc w:val="center"/>
        <w:spacing w:before="120" w:after="120"/>
      </w:pPr>
      <w:r>
        <w:rPr>
          <w:noProof/>
        </w:rPr>
        <w:drawing>
          <wp:inline distT="0" distB="0" distL="0" distR="0">
            <wp:extent cx="5486400" cy="3657600"/>
            <wp:effectExtent l="0" t="0" r="0" b="0"/>
            <wp:docPr id="2" name="Path Diagram" descr="Path Diagra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th-diagram.png"/>
                    <pic:cNvPicPr/>
                  </pic:nvPicPr>
                  <pic:blipFill>
                    <a:blip r:embed="rIdPathDiagram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arkTableNote"/>
      </w:pPr>
      <w:r>
        <w:rPr>
          <w:i/>
        </w:rPr>
        <w:t xml:space="preserve">Figure 1. Model path diagram.</w:t>
      </w:r>
    </w:p>
    <w:p>
      <w:r>
        <w:t xml:space="preserve"/>
      </w:r>
    </w:p>
    <w:p>
      <w:pPr>
        <w:sectPr>
          <w:footerReference w:type="default" r:id="rIdFooter1"/>
          <w:pgSz w:w="12240" w:h="15840"/>
          <w:pgMar w:top="1440" w:right="1080" w:bottom="1440" w:left="1080" w:header="720" w:footer="720" w:gutter="0"/>
        </w:sectPr>
      </w:pPr>
    </w:p>
    <w:p>
      <w:pPr>
        <w:pStyle w:val="Heading1"/>
      </w:pPr>
      <w:r>
        <w:t xml:space="preserve">Measurement model assessment</w:t>
      </w:r>
    </w:p>
    <w:p>
      <w:pPr>
        <w:pStyle w:val="TarkTableNumber"/>
      </w:pPr>
      <w:r>
        <w:rPr>
          <w:b/>
        </w:rPr>
        <w:t xml:space="preserve">Table 1</w:t>
      </w:r>
    </w:p>
    <w:p>
      <w:pPr>
        <w:pStyle w:val="TarkTableTitle"/>
      </w:pPr>
      <w:r>
        <w:rPr>
          <w:i/>
        </w:rPr>
        <w:t xml:space="preserve">Measurement model assessment</w:t>
      </w:r>
    </w:p>
    <w:tbl>
      <w:tblPr>
        <w:tblStyle w:val="TarkApaTable"/>
        <w:tblW w:w="0" w:type="auto"/>
        <w:tblLook w:firstRow="1" w:lastRow="0" w:firstColumn="0" w:lastColumn="0" w:noHBand="1" w:noVBand="1"/>
        <w:tblBorders>
          <w:top w:val="single" w:sz="12" w:space="0" w:color="87976B"/>
          <w:left w:val="nil"/>
          <w:bottom w:val="single" w:sz="12" w:space="0" w:color="87976B"/>
          <w:right w:val="nil"/>
          <w:insideH w:val="single" w:sz="6" w:space="0" w:color="808080"/>
          <w:insideV w:val="nil"/>
        </w:tblBorders>
      </w:tblPr>
      <w:tr>
        <w:trPr>
          <w:cantSplit/>
          <w:tblHeader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Construct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Indicator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Loading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VIF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Cronbach’s α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rho_A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CR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AVE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TP_1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1.822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0.895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0.681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TP_2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1.865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TP_3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1.954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TP_4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1.803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0.773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1.591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0.664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1.910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1.921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1.775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Cognitive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1.738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0.662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1.837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1.956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0.796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1.612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0.875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2.455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0.876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0.878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0.915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0.730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2.258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2.166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2.100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1.899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0.893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0.676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0.799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1.795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1.966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1.997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</w:tbl>
    <w:p>
      <w:pPr>
        <w:pStyle w:val="TarkTableNote"/>
      </w:pPr>
      <w:r>
        <w:t xml:space="preserve">Note. Loading = outer loading; VIF = variance inflation factor; rho_A = Dijkstra-Henseler rho; CR = composite reliability; AVE = average variance extracted.</w:t>
      </w:r>
    </w:p>
    <w:p>
      <w:r>
        <w:t xml:space="preserve"/>
      </w:r>
    </w:p>
    <w:p>
      <w:pPr>
        <w:sectPr>
          <w:footerReference w:type="default" r:id="rIdFooter1"/>
          <w:pgSz w:w="15840" w:h="12240" w:orient="landscape"/>
          <w:pgMar w:top="1080" w:right="900" w:bottom="1080" w:left="900" w:header="720" w:footer="720" w:gutter="0"/>
        </w:sectPr>
      </w:pPr>
    </w:p>
    <w:p>
      <w:pPr>
        <w:pStyle w:val="Heading1"/>
      </w:pPr>
      <w:r>
        <w:t xml:space="preserve">Discriminant validity assessment</w:t>
      </w:r>
    </w:p>
    <w:p>
      <w:pPr>
        <w:pStyle w:val="TarkTableNumber"/>
      </w:pPr>
      <w:r>
        <w:rPr>
          <w:b/>
        </w:rPr>
        <w:t xml:space="preserve">Table 2</w:t>
      </w:r>
    </w:p>
    <w:p>
      <w:pPr>
        <w:pStyle w:val="TarkTableTitle"/>
      </w:pPr>
      <w:r>
        <w:rPr>
          <w:i/>
        </w:rPr>
        <w:t xml:space="preserve">Discriminant validity assessment</w:t>
      </w:r>
    </w:p>
    <w:tbl>
      <w:tblPr>
        <w:tblStyle w:val="TarkApaTable"/>
        <w:tblW w:w="0" w:type="auto"/>
        <w:tblLook w:firstRow="1" w:lastRow="0" w:firstColumn="0" w:lastColumn="0" w:noHBand="1" w:noVBand="1"/>
        <w:tblBorders>
          <w:top w:val="single" w:sz="12" w:space="0" w:color="87976B"/>
          <w:left w:val="nil"/>
          <w:bottom w:val="single" w:sz="12" w:space="0" w:color="87976B"/>
          <w:right w:val="nil"/>
          <w:insideH w:val="single" w:sz="6" w:space="0" w:color="808080"/>
          <w:insideV w:val="nil"/>
        </w:tblBorders>
      </w:tblPr>
      <w:tr>
        <w:trPr>
          <w:cantSplit/>
          <w:tblHeader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Construct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Teacher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Social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Cognitive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Perceived usefulness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Cognitive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0.717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0.679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0.743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0.690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0.690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0.756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0.807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0.796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—</w:t>
            </w:r>
          </w:p>
        </w:tc>
      </w:tr>
    </w:tbl>
    <w:p>
      <w:pPr>
        <w:pStyle w:val="TarkTableNote"/>
      </w:pPr>
      <w:r>
        <w:t xml:space="preserve">Note. Values report HTMT ratios. Values below the selected threshold support discriminant validity.</w:t>
      </w:r>
    </w:p>
    <w:p>
      <w:r>
        <w:t xml:space="preserve"/>
      </w:r>
    </w:p>
    <w:p>
      <w:pPr>
        <w:sectPr>
          <w:footerReference w:type="default" r:id="rIdFooter1"/>
          <w:pgSz w:w="12240" w:h="15840"/>
          <w:pgMar w:top="1440" w:right="1080" w:bottom="1440" w:left="1080" w:header="720" w:footer="720" w:gutter="0"/>
        </w:sectPr>
      </w:pPr>
    </w:p>
    <w:p>
      <w:pPr>
        <w:pStyle w:val="Heading1"/>
      </w:pPr>
      <w:r>
        <w:t xml:space="preserve">Structural model assessment</w:t>
      </w:r>
    </w:p>
    <w:p>
      <w:pPr>
        <w:pStyle w:val="TarkTableNumber"/>
      </w:pPr>
      <w:r>
        <w:rPr>
          <w:b/>
        </w:rPr>
        <w:t xml:space="preserve">Table 3</w:t>
      </w:r>
    </w:p>
    <w:p>
      <w:pPr>
        <w:pStyle w:val="TarkTableTitle"/>
      </w:pPr>
      <w:r>
        <w:rPr>
          <w:i/>
        </w:rPr>
        <w:t xml:space="preserve">Structural model assessment</w:t>
      </w:r>
    </w:p>
    <w:tbl>
      <w:tblPr>
        <w:tblStyle w:val="TarkApaTable"/>
        <w:tblW w:w="0" w:type="auto"/>
        <w:tblLook w:firstRow="1" w:lastRow="0" w:firstColumn="0" w:lastColumn="0" w:noHBand="1" w:noVBand="1"/>
        <w:tblBorders>
          <w:top w:val="single" w:sz="12" w:space="0" w:color="87976B"/>
          <w:left w:val="nil"/>
          <w:bottom w:val="single" w:sz="12" w:space="0" w:color="87976B"/>
          <w:right w:val="nil"/>
          <w:insideH w:val="single" w:sz="6" w:space="0" w:color="808080"/>
          <w:insideV w:val="nil"/>
        </w:tblBorders>
      </w:tblPr>
      <w:tr>
        <w:trPr>
          <w:cantSplit/>
          <w:tblHeader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Hypothesis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Path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β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Mean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STDEV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t-value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p-value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95% CI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f²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Effect size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Decision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Social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0.681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0.683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13.665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[0.577, 0.772]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0.866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Large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Cognitive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0.185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0.186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0.070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2.628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0.009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[0.046, 0.320]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0.042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Small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0.247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0.251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0.066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3.727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[0.125, 0.387]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Small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 → Cognitive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0.612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0.612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0.062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9.934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[0.492, 0.730]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0.458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Large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 → 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0.307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0.303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0.071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4.293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[0.160, 0.444]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0.065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Small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0.118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0.121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0.064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1.839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[-0.000, 0.252]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0.014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None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Not 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Cognitive presence → 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0.217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0.216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0.079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2.751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0.006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[0.061, 0.370]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0.039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Small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Cognitive presence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0.351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0.349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0.064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5.472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[0.218, 0.471]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0.127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Small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Perceived Ease of Use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0.403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0.403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7.689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[0.298, 0.504]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0.221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Medium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Supported</w:t>
            </w:r>
          </w:p>
        </w:tc>
      </w:tr>
    </w:tbl>
    <w:p>
      <w:pPr>
        <w:pStyle w:val="TarkTableNote"/>
      </w:pPr>
      <w:r>
        <w:t xml:space="preserve">Note. β = standardized path coefficient; STDEV = bootstrap standard deviation; CI = confidence interval; f² = effect size.</w:t>
      </w:r>
    </w:p>
    <w:p>
      <w:r>
        <w:t xml:space="preserve"/>
      </w:r>
    </w:p>
    <w:p>
      <w:pPr>
        <w:sectPr>
          <w:footerReference w:type="default" r:id="rIdFooter1"/>
          <w:pgSz w:w="15840" w:h="12240" w:orient="landscape"/>
          <w:pgMar w:top="1080" w:right="900" w:bottom="1080" w:left="900" w:header="720" w:footer="720" w:gutter="0"/>
        </w:sectPr>
      </w:pPr>
    </w:p>
    <w:p>
      <w:pPr>
        <w:sectPr>
          <w:footerReference w:type="default" r:id="rIdFooter1"/>
          <w:pgSz w:w="12240" w:h="15840"/>
          <w:pgMar w:top="1440" w:right="1080" w:bottom="1440" w:left="1080" w:header="720" w:footer="720" w:gutter="0"/>
        </w:sectPr>
      </w:pPr>
    </w:p>
    <w:p>
      <w:pPr>
        <w:pStyle w:val="Heading1"/>
      </w:pPr>
      <w:r>
        <w:t xml:space="preserve">Specific indirect effects</w:t>
      </w:r>
    </w:p>
    <w:p>
      <w:pPr>
        <w:pStyle w:val="TarkTableNumber"/>
      </w:pPr>
      <w:r>
        <w:rPr>
          <w:b/>
        </w:rPr>
        <w:t xml:space="preserve">Table 4</w:t>
      </w:r>
    </w:p>
    <w:p>
      <w:pPr>
        <w:pStyle w:val="TarkTableTitle"/>
      </w:pPr>
      <w:r>
        <w:rPr>
          <w:i/>
        </w:rPr>
        <w:t xml:space="preserve">Specific indirect effects</w:t>
      </w:r>
    </w:p>
    <w:tbl>
      <w:tblPr>
        <w:tblStyle w:val="TarkApaTable"/>
        <w:tblW w:w="0" w:type="auto"/>
        <w:tblLook w:firstRow="1" w:lastRow="0" w:firstColumn="0" w:lastColumn="0" w:noHBand="1" w:noVBand="1"/>
        <w:tblBorders>
          <w:top w:val="single" w:sz="12" w:space="0" w:color="87976B"/>
          <w:left w:val="nil"/>
          <w:bottom w:val="single" w:sz="12" w:space="0" w:color="87976B"/>
          <w:right w:val="nil"/>
          <w:insideH w:val="single" w:sz="6" w:space="0" w:color="808080"/>
          <w:insideV w:val="nil"/>
        </w:tblBorders>
      </w:tblPr>
      <w:tr>
        <w:trPr>
          <w:cantSplit/>
          <w:tblHeader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Path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β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STDEV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t-value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p-value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2.5% CI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97.5% CI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Cognitive presence → 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0.040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0.022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1.809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0.016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0.005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0.090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Cognitive presence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0.065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0.028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2.293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0.009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0.014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0.125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Social Presence → Cognitive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0.417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7.742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0.322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0.528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Social Presence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0.081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0.045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1.804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-0.000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0.173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Social Presence → 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0.209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4.216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0.112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0.308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Teacher Presence → Perceived Ease of Use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0.099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0.028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3.568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0.049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0.158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Cognitive presence → Perceived Ease of Use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0.087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0.036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2.401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0.006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0.022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0.163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 → Cognitive presence → 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0.133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2.604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0.006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0.035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0.235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 → Cognitive presence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0.215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0.043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4.996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0.133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0.302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 → Perceived Ease of Use → 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0.124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0.031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3.960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&lt;.001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0.064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0.186</w:t>
            </w:r>
          </w:p>
        </w:tc>
      </w:tr>
    </w:tbl>
    <w:p>
      <w:pPr>
        <w:pStyle w:val="TarkTableNote"/>
      </w:pPr>
      <w:r>
        <w:t xml:space="preserve">Note. β = specific indirect effect; STDEV = bootstrap standard deviation; CI = bootstrap confidence interval. The displayed bounds are the standard 95% interval limits (2.5% and 97.5%).</w:t>
      </w:r>
    </w:p>
    <w:p>
      <w:r>
        <w:t xml:space="preserve"/>
      </w:r>
    </w:p>
    <w:p>
      <w:pPr>
        <w:sectPr>
          <w:footerReference w:type="default" r:id="rIdFooter1"/>
          <w:pgSz w:w="15840" w:h="12240" w:orient="landscape"/>
          <w:pgMar w:top="1080" w:right="900" w:bottom="1080" w:left="900" w:header="720" w:footer="720" w:gutter="0"/>
        </w:sectPr>
      </w:pPr>
    </w:p>
    <w:p>
      <w:pPr>
        <w:pStyle w:val="Heading1"/>
      </w:pPr>
      <w:r>
        <w:t xml:space="preserve">Explanatory and predictive power</w:t>
      </w:r>
    </w:p>
    <w:p>
      <w:pPr>
        <w:pStyle w:val="TarkTableNumber"/>
      </w:pPr>
      <w:r>
        <w:rPr>
          <w:b/>
        </w:rPr>
        <w:t xml:space="preserve">Table 5</w:t>
      </w:r>
    </w:p>
    <w:p>
      <w:pPr>
        <w:pStyle w:val="TarkTableTitle"/>
      </w:pPr>
      <w:r>
        <w:rPr>
          <w:i/>
        </w:rPr>
        <w:t xml:space="preserve">Explanatory and predictive power</w:t>
      </w:r>
    </w:p>
    <w:tbl>
      <w:tblPr>
        <w:tblStyle w:val="TarkApaTable"/>
        <w:tblW w:w="0" w:type="auto"/>
        <w:tblLook w:firstRow="1" w:lastRow="0" w:firstColumn="0" w:lastColumn="0" w:noHBand="1" w:noVBand="1"/>
        <w:tblBorders>
          <w:top w:val="single" w:sz="12" w:space="0" w:color="87976B"/>
          <w:left w:val="nil"/>
          <w:bottom w:val="single" w:sz="12" w:space="0" w:color="87976B"/>
          <w:right w:val="nil"/>
          <w:insideH w:val="single" w:sz="6" w:space="0" w:color="808080"/>
          <w:insideV w:val="nil"/>
        </w:tblBorders>
      </w:tblPr>
      <w:tr>
        <w:trPr>
          <w:cantSplit/>
          <w:tblHeader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Endogenous construct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R²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Adjusted R²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R² interpretation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Q²predict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Q²predict interpretation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Cognitive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0.563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0.560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0.360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Social Presence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0.464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0.463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0.460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Perceived Ease of Use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0.468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0.463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0.343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Perceived usefulness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0.589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0.585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0.334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/>
            </w:r>
          </w:p>
        </w:tc>
      </w:tr>
    </w:tbl>
    <w:p>
      <w:pPr>
        <w:pStyle w:val="TarkTableNote"/>
      </w:pPr>
      <w:r>
        <w:t xml:space="preserve">Note. R² and adjusted R² are from the PLS-SEM estimate. Q²predict values are from the PLSpredict latent variable (LV) summary.</w:t>
      </w:r>
    </w:p>
    <w:p>
      <w:r>
        <w:t xml:space="preserve"/>
      </w:r>
    </w:p>
    <w:p>
      <w:pPr>
        <w:pStyle w:val="Heading1"/>
      </w:pPr>
      <w:r>
        <w:t xml:space="preserve">Model fit assessment</w:t>
      </w:r>
    </w:p>
    <w:p>
      <w:pPr>
        <w:pStyle w:val="TarkTableNumber"/>
      </w:pPr>
      <w:r>
        <w:rPr>
          <w:b/>
        </w:rPr>
        <w:t xml:space="preserve">Table 6</w:t>
      </w:r>
    </w:p>
    <w:p>
      <w:pPr>
        <w:pStyle w:val="TarkTableTitle"/>
      </w:pPr>
      <w:r>
        <w:rPr>
          <w:i/>
        </w:rPr>
        <w:t xml:space="preserve">Model fit assessment</w:t>
      </w:r>
    </w:p>
    <w:tbl>
      <w:tblPr>
        <w:tblStyle w:val="TarkApaTable"/>
        <w:tblW w:w="0" w:type="auto"/>
        <w:tblLook w:firstRow="1" w:lastRow="0" w:firstColumn="0" w:lastColumn="0" w:noHBand="1" w:noVBand="1"/>
        <w:tblBorders>
          <w:top w:val="single" w:sz="12" w:space="0" w:color="87976B"/>
          <w:left w:val="nil"/>
          <w:bottom w:val="single" w:sz="12" w:space="0" w:color="87976B"/>
          <w:right w:val="nil"/>
          <w:insideH w:val="single" w:sz="6" w:space="0" w:color="808080"/>
          <w:insideV w:val="nil"/>
        </w:tblBorders>
      </w:tblPr>
      <w:tr>
        <w:trPr>
          <w:cantSplit/>
          <w:tblHeader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Fit index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Value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SRMR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0.057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d_ULS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0.683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d_G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1.926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NFI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0.983</w:t>
            </w:r>
          </w:p>
        </w:tc>
      </w:tr>
    </w:tbl>
    <w:p>
      <w:pPr>
        <w:pStyle w:val="TarkTableNote"/>
      </w:pPr>
      <w:r>
        <w:t xml:space="preserve">Note. Model fit reports SRMR, NFI, d_ULS, and d_G from the fitted Standard PLS or PLSc model.</w:t>
      </w:r>
    </w:p>
    <w:p>
      <w:r>
        <w:t xml:space="preserve"/>
      </w:r>
    </w:p>
    <w:p>
      <w:pPr>
        <w:pStyle w:val="Heading1"/>
      </w:pPr>
      <w:r>
        <w:t xml:space="preserve">PLSpredict assessment</w:t>
      </w:r>
    </w:p>
    <w:p>
      <w:pPr>
        <w:pStyle w:val="TarkTableNumber"/>
      </w:pPr>
      <w:r>
        <w:rPr>
          <w:b/>
        </w:rPr>
        <w:t xml:space="preserve">Table 7</w:t>
      </w:r>
    </w:p>
    <w:p>
      <w:pPr>
        <w:pStyle w:val="TarkTableTitle"/>
      </w:pPr>
      <w:r>
        <w:rPr>
          <w:i/>
        </w:rPr>
        <w:t xml:space="preserve">PLSpredict assessment</w:t>
      </w:r>
    </w:p>
    <w:tbl>
      <w:tblPr>
        <w:tblStyle w:val="TarkApaTable"/>
        <w:tblW w:w="0" w:type="auto"/>
        <w:tblLook w:firstRow="1" w:lastRow="0" w:firstColumn="0" w:lastColumn="0" w:noHBand="1" w:noVBand="1"/>
        <w:tblBorders>
          <w:top w:val="single" w:sz="12" w:space="0" w:color="87976B"/>
          <w:left w:val="nil"/>
          <w:bottom w:val="single" w:sz="12" w:space="0" w:color="87976B"/>
          <w:right w:val="nil"/>
          <w:insideH w:val="single" w:sz="6" w:space="0" w:color="808080"/>
          <w:insideV w:val="nil"/>
        </w:tblBorders>
      </w:tblPr>
      <w:tr>
        <w:trPr>
          <w:cantSplit/>
          <w:tblHeader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Indicator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Q²predict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PLS RMSE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PLS MAE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LM RMSE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rPr>
                <w:b/>
              </w:rPr>
              <w:t xml:space="preserve">LM MAE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0.236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0.626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0.626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0.364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0.749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0.578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0.750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0.575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0.303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0.803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0.611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0.798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0.611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SP_4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0.308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0.610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0.619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0.213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0.630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0.633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0.229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0.846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0.640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0.858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0.649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0.261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0.822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0.631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0.831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0.635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CP_4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0.224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0.630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0.819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0.630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0.256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0.853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0.641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0.866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0.651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0.229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0.705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0.697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0.227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0.898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0.694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0.899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0.700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PEOU_4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0.278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0.876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0.667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0.663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0.244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0.851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0.669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0.867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0.677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0.221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0.860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0.686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0.864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0.686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0.240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0.886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0.717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0.894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0.719</w:t>
            </w:r>
          </w:p>
        </w:tc>
      </w:tr>
      <w:tr>
        <w:trPr>
          <w:cantSplit/>
        </w:trPr>
        <w:tc>
          <w:tcPr>
            <w:tcW w:w="0" w:type="auto"/>
            <w:tcMar>
              <w:left w:w="120" w:type="dxa"/>
              <w:right w:w="120" w:type="dxa"/>
            </w:tcMar>
          </w:tcPr>
          <w:p>
            <w:pPr/>
            <w:r>
              <w:t xml:space="preserve">PU_3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0.179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0.874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0.694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0.882</w:t>
            </w:r>
          </w:p>
        </w:tc>
        <w:tc>
          <w:tcPr>
            <w:tcW w:w="0" w:type="auto"/>
            <w:tcMar>
              <w:left w:w="120" w:type="dxa"/>
              <w:right w:w="120" w:type="dxa"/>
            </w:tcMar>
          </w:tcPr>
          <w:p>
            <w:pPr>
              <w:jc w:val="right"/>
            </w:pPr>
            <w:r>
              <w:t xml:space="preserve">0.702</w:t>
            </w:r>
          </w:p>
        </w:tc>
      </w:tr>
    </w:tbl>
    <w:p>
      <w:pPr>
        <w:pStyle w:val="TarkTableNote"/>
      </w:pPr>
      <w:r>
        <w:t xml:space="preserve">Note. Q²predict values above zero indicate predictive relevance. PLS and LM errors support comparison of predictive performance.</w:t>
      </w:r>
    </w:p>
    <w:p>
      <w:r>
        <w:t xml:space="preserve"/>
      </w:r>
    </w:p>
    <w:sectPr>
      <w:footerReference w:type="default" r:id="rIdFooter1"/>
      <w:pgSz w:w="12240" w:h="15840"/>
      <w:pgMar w:top="1440" w:right="1080" w:bottom="1440" w:left="1080" w:header="720" w:footer="720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>
    <w:pPr>
      <w:jc w:val="center"/>
      <w:spacing w:before="120"/>
    </w:pPr>
    <w:r>
      <w:rPr>
        <w:noProof/>
      </w:rPr>
      <w:drawing>
        <wp:inline distT="0" distB="0" distL="0" distR="0">
          <wp:extent cx="114300" cy="149860"/>
          <wp:effectExtent l="0" t="0" r="0" b="0"/>
          <wp:docPr id="1" name="Metis logo" descr="Metis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etis-logo.png"/>
                  <pic:cNvPicPr/>
                </pic:nvPicPr>
                <pic:blipFill>
                  <a:blip r:embed="rIdMetisLogo"/>
                  <a:stretch>
                    <a:fillRect/>
                  </a:stretch>
                </pic:blipFill>
                <pic:spPr>
                  <a:xfrm>
                    <a:off x="0" y="0"/>
                    <a:ext cx="114300" cy="149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ndara" w:hAnsi="Candara"/>
        <w:color w:val="87976B"/>
        <w:b/>
        <w:sz w:val="20"/>
      </w:rPr>
      <w:t xml:space="preserve">  metis</w:t>
    </w:r>
  </w:p>
</w:ftr>
</file>

<file path=word/styles.xml><?xml version="1.0" encoding="utf-8"?>
<w:styles xmlns:w="http://schemas.openxmlformats.org/wordprocessingml/2006/main">
  <w:style w:type="paragraph" w:default="1" w:styleId="Normal">
    <w:name w:val="Normal"/>
    <w:qFormat/>
    <w:pPr/>
    <w:rPr>
      <w:rFonts w:ascii="Candara" w:hAnsi="Candara" w:eastAsia="Candara" w:cs="Candara"/>
      <w:sz w:val="20"/>
    </w:rPr>
  </w:style>
  <w:style w:type="paragraph" w:styleId="Title">
    <w:name w:val="Title"/>
    <w:basedOn w:val="Normal"/>
    <w:next w:val="Normal"/>
    <w:qFormat/>
    <w:pPr>
      <w:spacing w:after="240"/>
    </w:pPr>
    <w:rPr>
      <w:b/>
      <w:color w:val="87976B"/>
      <w:sz w:val="32"/>
    </w:rPr>
  </w:style>
  <w:style w:type="paragraph" w:styleId="Heading1">
    <w:name w:val="heading 1"/>
    <w:basedOn w:val="Normal"/>
    <w:next w:val="Normal"/>
    <w:qFormat/>
    <w:pPr>
      <w:spacing w:before="240" w:after="120"/>
      <w:outlineLvl w:val="0"/>
    </w:pPr>
    <w:rPr>
      <w:b/>
      <w:color w:val="87976B"/>
      <w:sz w:val="28"/>
    </w:rPr>
  </w:style>
  <w:style w:type="paragraph" w:styleId="TarkTableNumber">
    <w:name w:val="Tark Table Number"/>
    <w:basedOn w:val="Normal"/>
    <w:pPr>
      <w:spacing w:before="120" w:after="0"/>
    </w:pPr>
    <w:rPr>
      <w:b/>
      <w:color w:val="87976B"/>
    </w:rPr>
  </w:style>
  <w:style w:type="paragraph" w:styleId="TarkTableTitle">
    <w:name w:val="Tark Table Title"/>
    <w:basedOn w:val="Normal"/>
    <w:pPr>
      <w:spacing w:after="120"/>
    </w:pPr>
    <w:rPr>
      <w:i/>
    </w:rPr>
  </w:style>
  <w:style w:type="paragraph" w:styleId="TarkTableNote">
    <w:name w:val="Tark Table Note"/>
    <w:basedOn w:val="Normal"/>
    <w:pPr>
      <w:spacing w:before="120" w:after="120"/>
    </w:pPr>
    <w:rPr>
      <w:i/>
      <w:sz w:val="20"/>
    </w:rPr>
  </w:style>
  <w:style w:type="table" w:styleId="TarkApaTable">
    <w:name w:val="Tark APA Table"/>
    <w:basedOn w:val="TableNormal"/>
    <w:tblPr>
      <w:tblBorders>
        <w:top w:val="single" w:sz="12" w:color="87976B"/>
        <w:left w:val="nil"/>
        <w:bottom w:val="single" w:sz="12" w:color="87976B"/>
        <w:right w:val="nil"/>
        <w:insideH w:val="single" w:sz="6" w:color="808080"/>
        <w:insideV w:val="nil"/>
      </w:tblBorders>
    </w:tblPr>
  </w:style>
</w:styles>
</file>

<file path=word/_rels/document.xml.rels><?xml version="1.0" encoding="UTF-8" standalone="yes"?>
<Relationships xmlns="http://schemas.openxmlformats.org/package/2006/relationships">
  <Relationship Id="rIdStyles" Type="http://schemas.openxmlformats.org/officeDocument/2006/relationships/styles" Target="styles.xml"/>
  <Relationship Id="rIdFooter1" Type="http://schemas.openxmlformats.org/officeDocument/2006/relationships/footer" Target="footer1.xml"/>
  <Relationship Id="rIdPathDiagram" Type="http://schemas.openxmlformats.org/officeDocument/2006/relationships/image" Target="media/path-diagram.png"/>
</Relationships>
</file>

<file path=word/_rels/footer1.xml.rels><?xml version="1.0" encoding="UTF-8" standalone="yes"?>
<Relationships xmlns="http://schemas.openxmlformats.org/package/2006/relationships">
  <Relationship Id="rIdMetisLogo" Type="http://schemas.openxmlformats.org/officeDocument/2006/relationships/image" Target="media/metis-logo.png"/>
</Relationships>
</file>